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EEA6" w14:textId="601031EB" w:rsidR="006506EA" w:rsidRPr="004925A2" w:rsidRDefault="001753E6" w:rsidP="006506EA">
      <w:pPr>
        <w:rPr>
          <w:rFonts w:ascii="Arial" w:hAnsi="Arial" w:cs="Arial"/>
          <w:b/>
          <w:color w:val="76923C" w:themeColor="accent3" w:themeShade="BF"/>
          <w:sz w:val="28"/>
          <w:szCs w:val="28"/>
        </w:rPr>
      </w:pPr>
      <w:r w:rsidRPr="00673271">
        <w:rPr>
          <w:rFonts w:ascii="Arial" w:hAnsi="Arial" w:cs="Arial"/>
          <w:b/>
          <w:noProof/>
          <w:color w:val="76923C" w:themeColor="accent3" w:themeShade="BF"/>
          <w:sz w:val="28"/>
          <w:szCs w:val="28"/>
        </w:rPr>
        <w:drawing>
          <wp:anchor distT="0" distB="0" distL="114300" distR="114300" simplePos="0" relativeHeight="251659264" behindDoc="0" locked="0" layoutInCell="1" allowOverlap="1" wp14:anchorId="0C026FB9" wp14:editId="5484BF9B">
            <wp:simplePos x="0" y="0"/>
            <wp:positionH relativeFrom="column">
              <wp:posOffset>4366260</wp:posOffset>
            </wp:positionH>
            <wp:positionV relativeFrom="paragraph">
              <wp:posOffset>-243205</wp:posOffset>
            </wp:positionV>
            <wp:extent cx="1533525" cy="1319530"/>
            <wp:effectExtent l="0" t="0" r="9525" b="0"/>
            <wp:wrapNone/>
            <wp:docPr id="1" name="Picture 0" descr="County Logo Color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Logo Color 2013.png"/>
                    <pic:cNvPicPr/>
                  </pic:nvPicPr>
                  <pic:blipFill>
                    <a:blip r:embed="rId7" cstate="print"/>
                    <a:stretch>
                      <a:fillRect/>
                    </a:stretch>
                  </pic:blipFill>
                  <pic:spPr>
                    <a:xfrm>
                      <a:off x="0" y="0"/>
                      <a:ext cx="1533525" cy="1319530"/>
                    </a:xfrm>
                    <a:prstGeom prst="rect">
                      <a:avLst/>
                    </a:prstGeom>
                  </pic:spPr>
                </pic:pic>
              </a:graphicData>
            </a:graphic>
          </wp:anchor>
        </w:drawing>
      </w:r>
      <w:r w:rsidR="00273834" w:rsidRPr="00673271">
        <w:rPr>
          <w:rFonts w:ascii="Arial" w:hAnsi="Arial" w:cs="Arial"/>
          <w:b/>
          <w:color w:val="76923C" w:themeColor="accent3" w:themeShade="BF"/>
          <w:sz w:val="36"/>
          <w:szCs w:val="36"/>
        </w:rPr>
        <w:t xml:space="preserve">Criminal Justice </w:t>
      </w:r>
      <w:r w:rsidRPr="00673271">
        <w:rPr>
          <w:rFonts w:ascii="Arial" w:hAnsi="Arial" w:cs="Arial"/>
          <w:b/>
          <w:color w:val="76923C" w:themeColor="accent3" w:themeShade="BF"/>
          <w:sz w:val="36"/>
          <w:szCs w:val="36"/>
        </w:rPr>
        <w:t>Services Division</w:t>
      </w:r>
    </w:p>
    <w:p w14:paraId="0500878C" w14:textId="7DF61431" w:rsidR="004925A2" w:rsidRPr="00673271" w:rsidRDefault="004925A2" w:rsidP="006506EA">
      <w:pPr>
        <w:rPr>
          <w:rFonts w:ascii="Arial" w:hAnsi="Arial" w:cs="Arial"/>
          <w:b/>
          <w:color w:val="76923C" w:themeColor="accent3" w:themeShade="BF"/>
          <w:sz w:val="36"/>
          <w:szCs w:val="36"/>
        </w:rPr>
      </w:pPr>
      <w:r>
        <w:rPr>
          <w:rFonts w:ascii="Arial" w:hAnsi="Arial" w:cs="Arial"/>
          <w:b/>
          <w:color w:val="76923C" w:themeColor="accent3" w:themeShade="BF"/>
          <w:sz w:val="36"/>
          <w:szCs w:val="36"/>
        </w:rPr>
        <w:t>Chippewa County COMPAS Process</w:t>
      </w:r>
    </w:p>
    <w:p w14:paraId="40C00416" w14:textId="77777777" w:rsidR="00047700" w:rsidRPr="00700E29" w:rsidRDefault="00047700" w:rsidP="00350222">
      <w:pPr>
        <w:pBdr>
          <w:bottom w:val="single" w:sz="6" w:space="1" w:color="4F6228" w:themeColor="accent3" w:themeShade="80"/>
        </w:pBdr>
        <w:tabs>
          <w:tab w:val="left" w:pos="3600"/>
        </w:tabs>
        <w:rPr>
          <w:rFonts w:cstheme="minorHAnsi"/>
        </w:rPr>
      </w:pPr>
      <w:r>
        <w:rPr>
          <w:rFonts w:cstheme="minorHAnsi"/>
        </w:rPr>
        <w:t>Rose Baier, CJ</w:t>
      </w:r>
      <w:r w:rsidR="00257D6E">
        <w:rPr>
          <w:rFonts w:cstheme="minorHAnsi"/>
        </w:rPr>
        <w:t>S Director</w:t>
      </w:r>
    </w:p>
    <w:p w14:paraId="2483928C" w14:textId="77777777" w:rsidR="004925A2" w:rsidRDefault="004925A2" w:rsidP="004925A2">
      <w:pPr>
        <w:pStyle w:val="Default"/>
        <w:rPr>
          <w:b/>
          <w:bCs/>
          <w:sz w:val="32"/>
          <w:szCs w:val="32"/>
        </w:rPr>
      </w:pPr>
    </w:p>
    <w:p w14:paraId="6C5B1DD3" w14:textId="2BA643CB" w:rsidR="004925A2" w:rsidRPr="004925A2" w:rsidRDefault="004925A2" w:rsidP="004925A2">
      <w:pPr>
        <w:pStyle w:val="Default"/>
        <w:rPr>
          <w:sz w:val="30"/>
          <w:szCs w:val="30"/>
        </w:rPr>
      </w:pPr>
      <w:r w:rsidRPr="004925A2">
        <w:rPr>
          <w:b/>
          <w:bCs/>
          <w:sz w:val="30"/>
          <w:szCs w:val="30"/>
        </w:rPr>
        <w:t xml:space="preserve">Making a COMPAS Referral: </w:t>
      </w:r>
    </w:p>
    <w:p w14:paraId="7E941498" w14:textId="3E1A4A92" w:rsidR="004925A2" w:rsidRPr="004925A2" w:rsidRDefault="004925A2" w:rsidP="004925A2">
      <w:pPr>
        <w:pStyle w:val="Default"/>
        <w:numPr>
          <w:ilvl w:val="0"/>
          <w:numId w:val="28"/>
        </w:numPr>
        <w:spacing w:after="70" w:line="276" w:lineRule="auto"/>
      </w:pPr>
      <w:r w:rsidRPr="004925A2">
        <w:t>Use the current version of the referral form</w:t>
      </w:r>
    </w:p>
    <w:p w14:paraId="11E70F9F" w14:textId="52FC62A0" w:rsidR="004925A2" w:rsidRPr="004925A2" w:rsidRDefault="004925A2" w:rsidP="004925A2">
      <w:pPr>
        <w:pStyle w:val="Default"/>
        <w:numPr>
          <w:ilvl w:val="0"/>
          <w:numId w:val="28"/>
        </w:numPr>
        <w:spacing w:after="70" w:line="276" w:lineRule="auto"/>
      </w:pPr>
      <w:r w:rsidRPr="004925A2">
        <w:t xml:space="preserve">This must be fully completed using the client’s most current information. </w:t>
      </w:r>
    </w:p>
    <w:p w14:paraId="684EF8BD" w14:textId="0977E2C2" w:rsidR="004925A2" w:rsidRPr="004925A2" w:rsidRDefault="004925A2" w:rsidP="004925A2">
      <w:pPr>
        <w:pStyle w:val="Default"/>
        <w:numPr>
          <w:ilvl w:val="0"/>
          <w:numId w:val="29"/>
        </w:numPr>
        <w:spacing w:after="70" w:line="276" w:lineRule="auto"/>
      </w:pPr>
      <w:r w:rsidRPr="004925A2">
        <w:t xml:space="preserve">All known case information must be filled in. The client information must include their full name, including middle initial, as well as birth date and contact information. If the client does not have a phone number at which they can be reached, it will be the client’s responsibility to contact the Assessor. Please check a “Reason for Evaluation” box. </w:t>
      </w:r>
    </w:p>
    <w:p w14:paraId="290C521F" w14:textId="77777777" w:rsidR="004925A2" w:rsidRPr="004925A2" w:rsidRDefault="004925A2" w:rsidP="004925A2">
      <w:pPr>
        <w:pStyle w:val="Default"/>
        <w:rPr>
          <w:sz w:val="32"/>
          <w:szCs w:val="32"/>
        </w:rPr>
      </w:pPr>
    </w:p>
    <w:p w14:paraId="58B7316C" w14:textId="77777777" w:rsidR="004925A2" w:rsidRPr="004925A2" w:rsidRDefault="004925A2" w:rsidP="004925A2">
      <w:pPr>
        <w:pStyle w:val="Default"/>
        <w:rPr>
          <w:sz w:val="30"/>
          <w:szCs w:val="30"/>
        </w:rPr>
      </w:pPr>
      <w:r w:rsidRPr="004925A2">
        <w:rPr>
          <w:b/>
          <w:bCs/>
          <w:sz w:val="30"/>
          <w:szCs w:val="30"/>
        </w:rPr>
        <w:t xml:space="preserve">Scheduling an Appointment: </w:t>
      </w:r>
    </w:p>
    <w:p w14:paraId="06EFE4FD" w14:textId="3653AD8F" w:rsidR="004925A2" w:rsidRPr="004925A2" w:rsidRDefault="004925A2" w:rsidP="004925A2">
      <w:pPr>
        <w:pStyle w:val="Default"/>
        <w:numPr>
          <w:ilvl w:val="0"/>
          <w:numId w:val="30"/>
        </w:numPr>
        <w:spacing w:after="68" w:line="276" w:lineRule="auto"/>
      </w:pPr>
      <w:r w:rsidRPr="004925A2">
        <w:t xml:space="preserve">Once criminal history information is verified, the assessor will contact the client to schedule an appointment to be held within five days. </w:t>
      </w:r>
    </w:p>
    <w:p w14:paraId="3C306ED7" w14:textId="43360DC2" w:rsidR="004925A2" w:rsidRPr="004925A2" w:rsidRDefault="004925A2" w:rsidP="004925A2">
      <w:pPr>
        <w:pStyle w:val="Default"/>
        <w:numPr>
          <w:ilvl w:val="0"/>
          <w:numId w:val="30"/>
        </w:numPr>
        <w:spacing w:after="68" w:line="276" w:lineRule="auto"/>
      </w:pPr>
      <w:r w:rsidRPr="004925A2">
        <w:t xml:space="preserve">The completion of a COMPAS may be delayed if contact information is invalid or the client is not returning the assessor’s call. The assessor will make two attempts to contact the client. After the second unsuccessful attempt the referring party will be notified and asked to have their client contact the assessor to schedule an appointment. </w:t>
      </w:r>
    </w:p>
    <w:p w14:paraId="2918F909" w14:textId="0BBA97E8" w:rsidR="004925A2" w:rsidRPr="004925A2" w:rsidRDefault="004925A2" w:rsidP="004925A2">
      <w:pPr>
        <w:pStyle w:val="Default"/>
        <w:numPr>
          <w:ilvl w:val="0"/>
          <w:numId w:val="30"/>
        </w:numPr>
        <w:spacing w:after="68" w:line="276" w:lineRule="auto"/>
      </w:pPr>
      <w:r w:rsidRPr="004925A2">
        <w:t xml:space="preserve">If the client fails to show up for the scheduled appointment the assessor will make one attempt to contact the client to reschedule. The assessor will also contact the referring party to alert them of the missed appointment. If the client fails to contact the assessor within one week, the assessor will ask the referring party to have the client contact the assessor to reschedule the appointment. Referrals will be held open for 30 days. If there is no follow through after this time the referral will be terminated and the referring party will have to submit a new referral. </w:t>
      </w:r>
    </w:p>
    <w:p w14:paraId="3E169A52" w14:textId="10625D40" w:rsidR="004925A2" w:rsidRPr="004925A2" w:rsidRDefault="004925A2" w:rsidP="004925A2">
      <w:pPr>
        <w:pStyle w:val="Default"/>
        <w:numPr>
          <w:ilvl w:val="0"/>
          <w:numId w:val="30"/>
        </w:numPr>
        <w:spacing w:after="68" w:line="276" w:lineRule="auto"/>
      </w:pPr>
      <w:r w:rsidRPr="004925A2">
        <w:t xml:space="preserve">If a client arrives more than 10 minutes late for an appointment the COMPAS Assessment will not be completed and they will be asked to schedule for a different day. </w:t>
      </w:r>
    </w:p>
    <w:p w14:paraId="042B23A5" w14:textId="28A01C0B" w:rsidR="004925A2" w:rsidRPr="004925A2" w:rsidRDefault="004925A2" w:rsidP="004925A2">
      <w:pPr>
        <w:pStyle w:val="Default"/>
        <w:numPr>
          <w:ilvl w:val="0"/>
          <w:numId w:val="30"/>
        </w:numPr>
        <w:spacing w:line="276" w:lineRule="auto"/>
      </w:pPr>
      <w:r w:rsidRPr="004925A2">
        <w:t xml:space="preserve">Once an assessment is completed the assessor will have a summary of the results sent to the referring party, and any other involved parties listed on the referral form, within 24-48 hours. </w:t>
      </w:r>
    </w:p>
    <w:p w14:paraId="06031AFB" w14:textId="04AED531" w:rsidR="004925A2" w:rsidRDefault="004925A2" w:rsidP="004925A2">
      <w:pPr>
        <w:pStyle w:val="Default"/>
        <w:rPr>
          <w:rFonts w:asciiTheme="minorHAnsi" w:hAnsiTheme="minorHAnsi" w:cstheme="minorHAnsi"/>
          <w:sz w:val="22"/>
          <w:szCs w:val="22"/>
        </w:rPr>
      </w:pPr>
    </w:p>
    <w:p w14:paraId="0C9771AD" w14:textId="77777777" w:rsidR="004925A2" w:rsidRDefault="004925A2" w:rsidP="004925A2">
      <w:pPr>
        <w:pStyle w:val="Default"/>
        <w:rPr>
          <w:b/>
          <w:bCs/>
          <w:sz w:val="23"/>
          <w:szCs w:val="23"/>
        </w:rPr>
      </w:pPr>
    </w:p>
    <w:p w14:paraId="325EB009" w14:textId="77777777" w:rsidR="004925A2" w:rsidRDefault="004925A2" w:rsidP="004925A2">
      <w:pPr>
        <w:pStyle w:val="Default"/>
        <w:rPr>
          <w:b/>
          <w:bCs/>
          <w:sz w:val="23"/>
          <w:szCs w:val="23"/>
        </w:rPr>
      </w:pPr>
    </w:p>
    <w:p w14:paraId="4CCF14F8" w14:textId="77777777" w:rsidR="004925A2" w:rsidRDefault="004925A2" w:rsidP="004925A2">
      <w:pPr>
        <w:pStyle w:val="Default"/>
        <w:rPr>
          <w:b/>
          <w:bCs/>
          <w:sz w:val="23"/>
          <w:szCs w:val="23"/>
        </w:rPr>
      </w:pPr>
    </w:p>
    <w:p w14:paraId="035C8231" w14:textId="77777777" w:rsidR="004925A2" w:rsidRDefault="004925A2" w:rsidP="004925A2">
      <w:pPr>
        <w:pStyle w:val="Default"/>
        <w:rPr>
          <w:b/>
          <w:bCs/>
          <w:sz w:val="23"/>
          <w:szCs w:val="23"/>
        </w:rPr>
      </w:pPr>
    </w:p>
    <w:p w14:paraId="59A03AD3" w14:textId="77777777" w:rsidR="004925A2" w:rsidRDefault="004925A2" w:rsidP="004925A2">
      <w:pPr>
        <w:pStyle w:val="Default"/>
        <w:rPr>
          <w:b/>
          <w:bCs/>
          <w:sz w:val="23"/>
          <w:szCs w:val="23"/>
        </w:rPr>
      </w:pPr>
    </w:p>
    <w:p w14:paraId="058E403D" w14:textId="77777777" w:rsidR="004925A2" w:rsidRDefault="004925A2" w:rsidP="004925A2">
      <w:pPr>
        <w:pStyle w:val="Default"/>
        <w:rPr>
          <w:b/>
          <w:bCs/>
          <w:sz w:val="23"/>
          <w:szCs w:val="23"/>
        </w:rPr>
      </w:pPr>
    </w:p>
    <w:p w14:paraId="5416810E" w14:textId="77777777" w:rsidR="004925A2" w:rsidRDefault="004925A2" w:rsidP="004925A2">
      <w:pPr>
        <w:pStyle w:val="Default"/>
        <w:rPr>
          <w:b/>
          <w:bCs/>
          <w:sz w:val="23"/>
          <w:szCs w:val="23"/>
        </w:rPr>
      </w:pPr>
    </w:p>
    <w:p w14:paraId="0B8930B8" w14:textId="77777777" w:rsidR="004925A2" w:rsidRDefault="004925A2" w:rsidP="004925A2">
      <w:pPr>
        <w:pStyle w:val="Default"/>
        <w:rPr>
          <w:b/>
          <w:bCs/>
          <w:sz w:val="23"/>
          <w:szCs w:val="23"/>
        </w:rPr>
      </w:pPr>
    </w:p>
    <w:p w14:paraId="3A40D38C" w14:textId="3C18184A" w:rsidR="004925A2" w:rsidRPr="004925A2" w:rsidRDefault="004925A2" w:rsidP="004925A2">
      <w:pPr>
        <w:pStyle w:val="Default"/>
        <w:rPr>
          <w:sz w:val="30"/>
          <w:szCs w:val="30"/>
        </w:rPr>
      </w:pPr>
      <w:r>
        <w:rPr>
          <w:b/>
          <w:bCs/>
          <w:sz w:val="30"/>
          <w:szCs w:val="30"/>
        </w:rPr>
        <w:lastRenderedPageBreak/>
        <w:t xml:space="preserve">Additional </w:t>
      </w:r>
      <w:r w:rsidRPr="004925A2">
        <w:rPr>
          <w:b/>
          <w:bCs/>
          <w:sz w:val="30"/>
          <w:szCs w:val="30"/>
        </w:rPr>
        <w:t xml:space="preserve">Assessment Descriptions </w:t>
      </w:r>
    </w:p>
    <w:p w14:paraId="517B2057" w14:textId="77777777" w:rsidR="004925A2" w:rsidRDefault="004925A2" w:rsidP="004925A2">
      <w:pPr>
        <w:pStyle w:val="Default"/>
        <w:spacing w:line="276" w:lineRule="auto"/>
        <w:rPr>
          <w:rFonts w:asciiTheme="minorHAnsi" w:hAnsiTheme="minorHAnsi" w:cstheme="minorHAnsi"/>
        </w:rPr>
      </w:pPr>
    </w:p>
    <w:p w14:paraId="6400728E" w14:textId="697BE7DE" w:rsidR="004925A2" w:rsidRPr="00F54537" w:rsidRDefault="004925A2" w:rsidP="00710127">
      <w:pPr>
        <w:pStyle w:val="Default"/>
        <w:spacing w:line="276" w:lineRule="auto"/>
        <w:rPr>
          <w:rFonts w:asciiTheme="minorHAnsi" w:hAnsiTheme="minorHAnsi" w:cstheme="minorHAnsi"/>
          <w:u w:val="single"/>
        </w:rPr>
      </w:pPr>
      <w:r w:rsidRPr="00F54537">
        <w:rPr>
          <w:rFonts w:asciiTheme="minorHAnsi" w:hAnsiTheme="minorHAnsi" w:cstheme="minorHAnsi"/>
          <w:u w:val="single"/>
        </w:rPr>
        <w:t xml:space="preserve">NIJ Mental Health Screens </w:t>
      </w:r>
    </w:p>
    <w:p w14:paraId="0037A37B" w14:textId="4030C9C4" w:rsidR="004925A2" w:rsidRPr="00F54537" w:rsidRDefault="004925A2" w:rsidP="00710127">
      <w:pPr>
        <w:pStyle w:val="Default"/>
        <w:numPr>
          <w:ilvl w:val="0"/>
          <w:numId w:val="31"/>
        </w:numPr>
        <w:spacing w:line="276" w:lineRule="auto"/>
        <w:rPr>
          <w:rFonts w:asciiTheme="minorHAnsi" w:hAnsiTheme="minorHAnsi" w:cstheme="minorHAnsi"/>
        </w:rPr>
      </w:pPr>
      <w:r w:rsidRPr="00F54537">
        <w:rPr>
          <w:rFonts w:asciiTheme="minorHAnsi" w:hAnsiTheme="minorHAnsi" w:cstheme="minorHAnsi"/>
        </w:rPr>
        <w:t xml:space="preserve">Separate questionnaires for men and women. The men’s contains 12 yes/no questions, while the women’s contains eight, about current and lifetime indications of serious mental disorder. </w:t>
      </w:r>
    </w:p>
    <w:p w14:paraId="71875CC1" w14:textId="2AB9399F" w:rsidR="004925A2" w:rsidRPr="00F54537" w:rsidRDefault="004925A2" w:rsidP="00710127">
      <w:pPr>
        <w:pStyle w:val="Default"/>
        <w:numPr>
          <w:ilvl w:val="0"/>
          <w:numId w:val="31"/>
        </w:numPr>
        <w:spacing w:line="276" w:lineRule="auto"/>
        <w:rPr>
          <w:rFonts w:asciiTheme="minorHAnsi" w:hAnsiTheme="minorHAnsi" w:cstheme="minorHAnsi"/>
        </w:rPr>
      </w:pPr>
      <w:r w:rsidRPr="00F54537">
        <w:rPr>
          <w:rFonts w:asciiTheme="minorHAnsi" w:hAnsiTheme="minorHAnsi" w:cstheme="minorHAnsi"/>
        </w:rPr>
        <w:t xml:space="preserve">Six questions regarding symptoms and history of mental illness; remaining questions are unique to each gender screen. </w:t>
      </w:r>
    </w:p>
    <w:p w14:paraId="70FE455C" w14:textId="1EE4654D" w:rsidR="004925A2" w:rsidRPr="00F54537" w:rsidRDefault="004925A2" w:rsidP="00710127">
      <w:pPr>
        <w:pStyle w:val="Default"/>
        <w:numPr>
          <w:ilvl w:val="0"/>
          <w:numId w:val="31"/>
        </w:numPr>
        <w:spacing w:line="276" w:lineRule="auto"/>
        <w:rPr>
          <w:rFonts w:asciiTheme="minorHAnsi" w:hAnsiTheme="minorHAnsi" w:cstheme="minorHAnsi"/>
        </w:rPr>
      </w:pPr>
      <w:r w:rsidRPr="00F54537">
        <w:rPr>
          <w:rFonts w:asciiTheme="minorHAnsi" w:hAnsiTheme="minorHAnsi" w:cstheme="minorHAnsi"/>
        </w:rPr>
        <w:t xml:space="preserve">Recommendation for further evaluation: Males- 6 or more “Yes” responses; Females- 5 or more “Yes” responses. </w:t>
      </w:r>
    </w:p>
    <w:p w14:paraId="65B7BC34" w14:textId="77777777" w:rsidR="004925A2" w:rsidRPr="00F54537" w:rsidRDefault="004925A2" w:rsidP="00710127">
      <w:pPr>
        <w:pStyle w:val="Default"/>
        <w:spacing w:line="276" w:lineRule="auto"/>
        <w:rPr>
          <w:rFonts w:asciiTheme="minorHAnsi" w:hAnsiTheme="minorHAnsi" w:cstheme="minorHAnsi"/>
        </w:rPr>
      </w:pPr>
    </w:p>
    <w:p w14:paraId="54BBF261" w14:textId="77777777" w:rsidR="004925A2" w:rsidRPr="00F54537" w:rsidRDefault="004925A2" w:rsidP="00710127">
      <w:pPr>
        <w:pStyle w:val="Default"/>
        <w:spacing w:line="276" w:lineRule="auto"/>
        <w:rPr>
          <w:rFonts w:asciiTheme="minorHAnsi" w:hAnsiTheme="minorHAnsi" w:cstheme="minorHAnsi"/>
          <w:u w:val="single"/>
        </w:rPr>
      </w:pPr>
      <w:r w:rsidRPr="00F54537">
        <w:rPr>
          <w:rFonts w:asciiTheme="minorHAnsi" w:hAnsiTheme="minorHAnsi" w:cstheme="minorHAnsi"/>
          <w:u w:val="single"/>
        </w:rPr>
        <w:t xml:space="preserve">TCU Drug Screen </w:t>
      </w:r>
    </w:p>
    <w:p w14:paraId="494E44C3" w14:textId="1A50B8F2" w:rsidR="004925A2" w:rsidRPr="00F54537" w:rsidRDefault="004925A2" w:rsidP="00710127">
      <w:pPr>
        <w:pStyle w:val="Default"/>
        <w:numPr>
          <w:ilvl w:val="0"/>
          <w:numId w:val="31"/>
        </w:numPr>
        <w:spacing w:line="276" w:lineRule="auto"/>
        <w:rPr>
          <w:rFonts w:asciiTheme="minorHAnsi" w:hAnsiTheme="minorHAnsi" w:cstheme="minorHAnsi"/>
        </w:rPr>
      </w:pPr>
      <w:r w:rsidRPr="00F54537">
        <w:rPr>
          <w:rFonts w:asciiTheme="minorHAnsi" w:hAnsiTheme="minorHAnsi" w:cstheme="minorHAnsi"/>
        </w:rPr>
        <w:t xml:space="preserve">A 15-item questionnaire that determines a person’s need for further AODA evaluation. </w:t>
      </w:r>
    </w:p>
    <w:p w14:paraId="5AB0B84B" w14:textId="48BE8DDA" w:rsidR="004925A2" w:rsidRPr="00F54537" w:rsidRDefault="004925A2" w:rsidP="00710127">
      <w:pPr>
        <w:pStyle w:val="Default"/>
        <w:numPr>
          <w:ilvl w:val="0"/>
          <w:numId w:val="31"/>
        </w:numPr>
        <w:spacing w:line="276" w:lineRule="auto"/>
        <w:rPr>
          <w:rFonts w:asciiTheme="minorHAnsi" w:hAnsiTheme="minorHAnsi" w:cstheme="minorHAnsi"/>
        </w:rPr>
      </w:pPr>
      <w:r w:rsidRPr="00F54537">
        <w:rPr>
          <w:rFonts w:asciiTheme="minorHAnsi" w:hAnsiTheme="minorHAnsi" w:cstheme="minorHAnsi"/>
        </w:rPr>
        <w:t xml:space="preserve">Recommendation for further evaluation: If the offender’s score is 3 or higher. </w:t>
      </w:r>
    </w:p>
    <w:p w14:paraId="489AEBB7" w14:textId="77777777" w:rsidR="004925A2" w:rsidRPr="00F54537" w:rsidRDefault="004925A2" w:rsidP="00710127">
      <w:pPr>
        <w:pStyle w:val="Default"/>
        <w:spacing w:line="276" w:lineRule="auto"/>
        <w:rPr>
          <w:rFonts w:asciiTheme="minorHAnsi" w:hAnsiTheme="minorHAnsi" w:cstheme="minorHAnsi"/>
        </w:rPr>
      </w:pPr>
    </w:p>
    <w:p w14:paraId="7A51967B" w14:textId="77777777" w:rsidR="004925A2" w:rsidRPr="00F54537" w:rsidRDefault="004925A2" w:rsidP="00710127">
      <w:pPr>
        <w:pStyle w:val="Default"/>
        <w:spacing w:line="276" w:lineRule="auto"/>
        <w:rPr>
          <w:rFonts w:asciiTheme="minorHAnsi" w:hAnsiTheme="minorHAnsi" w:cstheme="minorHAnsi"/>
          <w:u w:val="single"/>
        </w:rPr>
      </w:pPr>
      <w:r w:rsidRPr="00F54537">
        <w:rPr>
          <w:rFonts w:asciiTheme="minorHAnsi" w:hAnsiTheme="minorHAnsi" w:cstheme="minorHAnsi"/>
          <w:u w:val="single"/>
        </w:rPr>
        <w:t xml:space="preserve">TCU Criminal Thinking </w:t>
      </w:r>
    </w:p>
    <w:p w14:paraId="2706E612" w14:textId="5154BFE8" w:rsidR="004925A2" w:rsidRPr="00F54537" w:rsidRDefault="004925A2" w:rsidP="00710127">
      <w:pPr>
        <w:pStyle w:val="Default"/>
        <w:numPr>
          <w:ilvl w:val="0"/>
          <w:numId w:val="31"/>
        </w:numPr>
        <w:spacing w:line="276" w:lineRule="auto"/>
        <w:rPr>
          <w:rFonts w:asciiTheme="minorHAnsi" w:hAnsiTheme="minorHAnsi" w:cstheme="minorHAnsi"/>
        </w:rPr>
      </w:pPr>
      <w:r w:rsidRPr="00F54537">
        <w:rPr>
          <w:rFonts w:asciiTheme="minorHAnsi" w:hAnsiTheme="minorHAnsi" w:cstheme="minorHAnsi"/>
        </w:rPr>
        <w:t xml:space="preserve">Thirty-seven item questionnaire that uses a 5-point Likert scale to measure an offender’s criminal thinking based on six categories: Entitlement, Justification, Personal Irresponsibility, Power Orientation, Cold Heartedness, and Criminal Rationalization. </w:t>
      </w:r>
    </w:p>
    <w:p w14:paraId="42355FFD" w14:textId="5CC2B9FD" w:rsidR="004925A2" w:rsidRPr="00F54537" w:rsidRDefault="004925A2" w:rsidP="00710127">
      <w:pPr>
        <w:pStyle w:val="Default"/>
        <w:numPr>
          <w:ilvl w:val="0"/>
          <w:numId w:val="31"/>
        </w:numPr>
        <w:spacing w:line="276" w:lineRule="auto"/>
        <w:rPr>
          <w:rFonts w:asciiTheme="minorHAnsi" w:hAnsiTheme="minorHAnsi" w:cstheme="minorHAnsi"/>
        </w:rPr>
      </w:pPr>
      <w:r w:rsidRPr="00F54537">
        <w:rPr>
          <w:rFonts w:asciiTheme="minorHAnsi" w:hAnsiTheme="minorHAnsi" w:cstheme="minorHAnsi"/>
        </w:rPr>
        <w:t xml:space="preserve">Recommendation for further evaluation: If the offender scores “Medium” in two categories or “High” in one. </w:t>
      </w:r>
    </w:p>
    <w:p w14:paraId="35660736" w14:textId="77777777" w:rsidR="004925A2" w:rsidRPr="00F54537" w:rsidRDefault="004925A2" w:rsidP="00710127">
      <w:pPr>
        <w:pStyle w:val="Default"/>
        <w:spacing w:line="276" w:lineRule="auto"/>
        <w:ind w:left="720"/>
        <w:rPr>
          <w:rFonts w:asciiTheme="minorHAnsi" w:hAnsiTheme="minorHAnsi" w:cstheme="minorHAnsi"/>
        </w:rPr>
      </w:pPr>
    </w:p>
    <w:p w14:paraId="39614AE6" w14:textId="260D62DD" w:rsidR="004925A2" w:rsidRPr="00F54537" w:rsidRDefault="004925A2" w:rsidP="00710127">
      <w:pPr>
        <w:pStyle w:val="Default"/>
        <w:spacing w:line="276" w:lineRule="auto"/>
        <w:rPr>
          <w:rFonts w:asciiTheme="minorHAnsi" w:hAnsiTheme="minorHAnsi" w:cstheme="minorHAnsi"/>
          <w:u w:val="single"/>
        </w:rPr>
      </w:pPr>
      <w:r w:rsidRPr="00F54537">
        <w:rPr>
          <w:rFonts w:asciiTheme="minorHAnsi" w:hAnsiTheme="minorHAnsi" w:cstheme="minorHAnsi"/>
          <w:u w:val="single"/>
        </w:rPr>
        <w:t>I</w:t>
      </w:r>
      <w:r w:rsidR="00F54537" w:rsidRPr="00F54537">
        <w:rPr>
          <w:rFonts w:asciiTheme="minorHAnsi" w:hAnsiTheme="minorHAnsi" w:cstheme="minorHAnsi"/>
          <w:u w:val="single"/>
        </w:rPr>
        <w:t>mpaired Driving</w:t>
      </w:r>
      <w:r w:rsidRPr="00F54537">
        <w:rPr>
          <w:rFonts w:asciiTheme="minorHAnsi" w:hAnsiTheme="minorHAnsi" w:cstheme="minorHAnsi"/>
          <w:u w:val="single"/>
        </w:rPr>
        <w:t xml:space="preserve"> Assessment “IDA”</w:t>
      </w:r>
    </w:p>
    <w:p w14:paraId="6F16A15E" w14:textId="70006020" w:rsidR="004925A2" w:rsidRPr="00F54537" w:rsidRDefault="00F54537" w:rsidP="00710127">
      <w:pPr>
        <w:pStyle w:val="Default"/>
        <w:numPr>
          <w:ilvl w:val="0"/>
          <w:numId w:val="33"/>
        </w:numPr>
        <w:spacing w:line="276" w:lineRule="auto"/>
        <w:rPr>
          <w:rFonts w:asciiTheme="minorHAnsi" w:hAnsiTheme="minorHAnsi" w:cstheme="minorHAnsi"/>
          <w:u w:val="single"/>
        </w:rPr>
      </w:pPr>
      <w:r w:rsidRPr="00F54537">
        <w:rPr>
          <w:rFonts w:asciiTheme="minorHAnsi" w:hAnsiTheme="minorHAnsi" w:cstheme="minorHAnsi"/>
        </w:rPr>
        <w:t>The IDA is a differential screening instrument that consists of 45 items across two components designed to estimate the risk for future impaired driving, provide preliminary guidelines for service needs, estimate the level of responsivity to supervision and services, and identify the degree to which traffic safety has been jeopardized among individuals convicted of OWI offenses.</w:t>
      </w:r>
    </w:p>
    <w:p w14:paraId="5974A2D6" w14:textId="600F0FEB" w:rsidR="00F54537" w:rsidRPr="00F54537" w:rsidRDefault="00F54537" w:rsidP="00710127">
      <w:pPr>
        <w:pStyle w:val="Default"/>
        <w:numPr>
          <w:ilvl w:val="0"/>
          <w:numId w:val="33"/>
        </w:numPr>
        <w:spacing w:line="276" w:lineRule="auto"/>
        <w:rPr>
          <w:rFonts w:asciiTheme="minorHAnsi" w:hAnsiTheme="minorHAnsi" w:cstheme="minorHAnsi"/>
          <w:u w:val="single"/>
        </w:rPr>
      </w:pPr>
      <w:r w:rsidRPr="00F54537">
        <w:rPr>
          <w:rFonts w:asciiTheme="minorHAnsi" w:hAnsiTheme="minorHAnsi" w:cstheme="minorHAnsi"/>
        </w:rPr>
        <w:t xml:space="preserve">The IDA has eight domains that assess a handful of major areas of impaired-driving recidivism: prior involvement in the justice system related to impaired driving, as well as in general; prior involvement with alcohol and or/other drugs; mental health and mood adjustment problems; and resistance to or non-compliance with the justice system interventions. </w:t>
      </w:r>
    </w:p>
    <w:p w14:paraId="6FDCDB34" w14:textId="06D25FF1" w:rsidR="004925A2" w:rsidRDefault="004925A2" w:rsidP="004925A2">
      <w:pPr>
        <w:pStyle w:val="Default"/>
        <w:spacing w:line="276" w:lineRule="auto"/>
        <w:rPr>
          <w:rFonts w:asciiTheme="minorHAnsi" w:hAnsiTheme="minorHAnsi" w:cstheme="minorHAnsi"/>
          <w:u w:val="single"/>
        </w:rPr>
      </w:pPr>
    </w:p>
    <w:p w14:paraId="4FB75261" w14:textId="46E0250F" w:rsidR="004925A2" w:rsidRDefault="004925A2" w:rsidP="004925A2">
      <w:pPr>
        <w:pStyle w:val="Default"/>
        <w:spacing w:line="276" w:lineRule="auto"/>
        <w:rPr>
          <w:rFonts w:asciiTheme="minorHAnsi" w:hAnsiTheme="minorHAnsi" w:cstheme="minorHAnsi"/>
          <w:u w:val="single"/>
        </w:rPr>
      </w:pPr>
    </w:p>
    <w:p w14:paraId="1FFA97C7" w14:textId="6B9D7346" w:rsidR="004925A2" w:rsidRDefault="004925A2" w:rsidP="004925A2">
      <w:pPr>
        <w:pStyle w:val="Default"/>
        <w:spacing w:line="276" w:lineRule="auto"/>
        <w:rPr>
          <w:rFonts w:asciiTheme="minorHAnsi" w:hAnsiTheme="minorHAnsi" w:cstheme="minorHAnsi"/>
          <w:u w:val="single"/>
        </w:rPr>
      </w:pPr>
    </w:p>
    <w:p w14:paraId="11ECA60E" w14:textId="77777777" w:rsidR="004925A2" w:rsidRPr="004925A2" w:rsidRDefault="004925A2" w:rsidP="004925A2">
      <w:pPr>
        <w:pStyle w:val="Default"/>
        <w:spacing w:line="276" w:lineRule="auto"/>
        <w:rPr>
          <w:rFonts w:asciiTheme="minorHAnsi" w:hAnsiTheme="minorHAnsi" w:cstheme="minorHAnsi"/>
        </w:rPr>
      </w:pPr>
    </w:p>
    <w:p w14:paraId="20DE5227" w14:textId="4A4F086B" w:rsidR="00367145" w:rsidRPr="00375A60" w:rsidRDefault="004925A2" w:rsidP="004925A2">
      <w:pPr>
        <w:rPr>
          <w:rFonts w:cstheme="minorHAnsi"/>
          <w:b/>
          <w:bCs/>
          <w:sz w:val="24"/>
          <w:szCs w:val="24"/>
        </w:rPr>
      </w:pPr>
      <w:r w:rsidRPr="00375A60">
        <w:rPr>
          <w:rFonts w:cstheme="minorHAnsi"/>
          <w:b/>
          <w:bCs/>
          <w:sz w:val="24"/>
          <w:szCs w:val="24"/>
        </w:rPr>
        <w:t>If you have any questions about this process, please feel free to contact</w:t>
      </w:r>
      <w:r w:rsidR="00375A60" w:rsidRPr="00375A60">
        <w:rPr>
          <w:rFonts w:cstheme="minorHAnsi"/>
          <w:b/>
          <w:bCs/>
          <w:sz w:val="24"/>
          <w:szCs w:val="24"/>
        </w:rPr>
        <w:t xml:space="preserve">: </w:t>
      </w:r>
      <w:r w:rsidR="002F06AF">
        <w:rPr>
          <w:rFonts w:cstheme="minorHAnsi"/>
          <w:b/>
          <w:bCs/>
          <w:sz w:val="24"/>
          <w:szCs w:val="24"/>
        </w:rPr>
        <w:t xml:space="preserve">Rose Baier at </w:t>
      </w:r>
      <w:hyperlink r:id="rId8" w:history="1">
        <w:r w:rsidR="002F06AF" w:rsidRPr="001E421F">
          <w:rPr>
            <w:rStyle w:val="Hyperlink"/>
            <w:rFonts w:cstheme="minorHAnsi"/>
            <w:b/>
            <w:bCs/>
            <w:sz w:val="24"/>
            <w:szCs w:val="24"/>
          </w:rPr>
          <w:t>rbaier@chippewacountywi.gov</w:t>
        </w:r>
      </w:hyperlink>
      <w:r w:rsidR="002F06AF">
        <w:rPr>
          <w:rFonts w:cstheme="minorHAnsi"/>
          <w:b/>
          <w:bCs/>
          <w:sz w:val="24"/>
          <w:szCs w:val="24"/>
        </w:rPr>
        <w:tab/>
      </w:r>
    </w:p>
    <w:sectPr w:rsidR="00367145" w:rsidRPr="00375A60" w:rsidSect="00FF5F14">
      <w:footerReference w:type="default" r:id="rId9"/>
      <w:pgSz w:w="12240" w:h="15840"/>
      <w:pgMar w:top="72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286A" w14:textId="77777777" w:rsidR="001F70F4" w:rsidRDefault="001F70F4" w:rsidP="00FF5F14">
      <w:r>
        <w:separator/>
      </w:r>
    </w:p>
  </w:endnote>
  <w:endnote w:type="continuationSeparator" w:id="0">
    <w:p w14:paraId="7740B3BA" w14:textId="77777777" w:rsidR="001F70F4" w:rsidRDefault="001F70F4" w:rsidP="00FF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08A7" w14:textId="77777777" w:rsidR="00367145" w:rsidRDefault="00047700" w:rsidP="00350222">
    <w:pPr>
      <w:pStyle w:val="Footer"/>
      <w:pBdr>
        <w:top w:val="single" w:sz="6" w:space="1" w:color="76923C" w:themeColor="accent3" w:themeShade="BF"/>
      </w:pBdr>
      <w:rPr>
        <w:sz w:val="18"/>
        <w:szCs w:val="18"/>
      </w:rPr>
    </w:pPr>
    <w:r>
      <w:rPr>
        <w:sz w:val="18"/>
        <w:szCs w:val="18"/>
      </w:rPr>
      <w:t>711 N. Bridge Street</w:t>
    </w:r>
    <w:r w:rsidR="00C431CC">
      <w:rPr>
        <w:sz w:val="18"/>
        <w:szCs w:val="18"/>
      </w:rPr>
      <w:t>, Rm 2</w:t>
    </w:r>
    <w:r w:rsidR="00911B60">
      <w:rPr>
        <w:sz w:val="18"/>
        <w:szCs w:val="18"/>
      </w:rPr>
      <w:t>21</w:t>
    </w:r>
    <w:r w:rsidR="00FF5F14" w:rsidRPr="00FF5F14">
      <w:rPr>
        <w:sz w:val="18"/>
        <w:szCs w:val="18"/>
      </w:rPr>
      <w:tab/>
    </w:r>
    <w:hyperlink r:id="rId1" w:history="1">
      <w:r w:rsidR="00367145" w:rsidRPr="002742BD">
        <w:rPr>
          <w:rStyle w:val="Hyperlink"/>
          <w:sz w:val="18"/>
          <w:szCs w:val="18"/>
        </w:rPr>
        <w:t>rbaier@chippewacountywi.gov</w:t>
      </w:r>
    </w:hyperlink>
  </w:p>
  <w:p w14:paraId="4ABDAD9B" w14:textId="77777777" w:rsidR="00FF5F14" w:rsidRPr="00FF5F14" w:rsidRDefault="00047700" w:rsidP="00350222">
    <w:pPr>
      <w:pStyle w:val="Footer"/>
      <w:pBdr>
        <w:top w:val="single" w:sz="6" w:space="1" w:color="76923C" w:themeColor="accent3" w:themeShade="BF"/>
      </w:pBdr>
      <w:rPr>
        <w:sz w:val="18"/>
        <w:szCs w:val="18"/>
      </w:rPr>
    </w:pPr>
    <w:r>
      <w:rPr>
        <w:sz w:val="18"/>
        <w:szCs w:val="18"/>
      </w:rPr>
      <w:tab/>
      <w:t>Ph: (715) 726-7798</w:t>
    </w:r>
  </w:p>
  <w:p w14:paraId="69BA0353" w14:textId="77777777" w:rsidR="00FF5F14" w:rsidRPr="00FF5F14" w:rsidRDefault="00FF5F14">
    <w:pPr>
      <w:pStyle w:val="Footer"/>
      <w:rPr>
        <w:sz w:val="18"/>
        <w:szCs w:val="18"/>
      </w:rPr>
    </w:pPr>
    <w:r w:rsidRPr="00FF5F14">
      <w:rPr>
        <w:sz w:val="18"/>
        <w:szCs w:val="18"/>
      </w:rPr>
      <w:t>Chippewa Falls, WI 54729</w:t>
    </w:r>
    <w:r w:rsidRPr="00FF5F14">
      <w:rPr>
        <w:sz w:val="18"/>
        <w:szCs w:val="18"/>
      </w:rPr>
      <w:tab/>
    </w:r>
    <w:r w:rsidRPr="00FF5F14">
      <w:rPr>
        <w:sz w:val="18"/>
        <w:szCs w:val="18"/>
      </w:rPr>
      <w:tab/>
    </w:r>
    <w:proofErr w:type="spellStart"/>
    <w:r w:rsidRPr="00FF5F14">
      <w:rPr>
        <w:sz w:val="18"/>
        <w:szCs w:val="18"/>
      </w:rPr>
      <w:t>Fx</w:t>
    </w:r>
    <w:proofErr w:type="spellEnd"/>
    <w:r w:rsidRPr="00FF5F14">
      <w:rPr>
        <w:sz w:val="18"/>
        <w:szCs w:val="18"/>
      </w:rPr>
      <w:t xml:space="preserve">: (715) </w:t>
    </w:r>
    <w:r w:rsidR="00C431CC">
      <w:rPr>
        <w:sz w:val="18"/>
        <w:szCs w:val="18"/>
      </w:rPr>
      <w:t>726-4599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4B58" w14:textId="77777777" w:rsidR="001F70F4" w:rsidRDefault="001F70F4" w:rsidP="00FF5F14">
      <w:r>
        <w:separator/>
      </w:r>
    </w:p>
  </w:footnote>
  <w:footnote w:type="continuationSeparator" w:id="0">
    <w:p w14:paraId="0C64CAEB" w14:textId="77777777" w:rsidR="001F70F4" w:rsidRDefault="001F70F4" w:rsidP="00FF5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1E2"/>
    <w:multiLevelType w:val="hybridMultilevel"/>
    <w:tmpl w:val="308AA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410DF"/>
    <w:multiLevelType w:val="hybridMultilevel"/>
    <w:tmpl w:val="C222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45783"/>
    <w:multiLevelType w:val="hybridMultilevel"/>
    <w:tmpl w:val="E7E0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637A6"/>
    <w:multiLevelType w:val="hybridMultilevel"/>
    <w:tmpl w:val="4214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B7D3A"/>
    <w:multiLevelType w:val="hybridMultilevel"/>
    <w:tmpl w:val="E298971A"/>
    <w:lvl w:ilvl="0" w:tplc="F816E8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0386D"/>
    <w:multiLevelType w:val="hybridMultilevel"/>
    <w:tmpl w:val="9BD239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4E0D27"/>
    <w:multiLevelType w:val="hybridMultilevel"/>
    <w:tmpl w:val="9BA8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36901"/>
    <w:multiLevelType w:val="hybridMultilevel"/>
    <w:tmpl w:val="3A38D0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CB1611"/>
    <w:multiLevelType w:val="hybridMultilevel"/>
    <w:tmpl w:val="8B3C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40E77"/>
    <w:multiLevelType w:val="hybridMultilevel"/>
    <w:tmpl w:val="98A2051E"/>
    <w:lvl w:ilvl="0" w:tplc="BC18967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0F5019"/>
    <w:multiLevelType w:val="hybridMultilevel"/>
    <w:tmpl w:val="0F9050FA"/>
    <w:lvl w:ilvl="0" w:tplc="F816E8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13F8F"/>
    <w:multiLevelType w:val="hybridMultilevel"/>
    <w:tmpl w:val="D466E0D0"/>
    <w:lvl w:ilvl="0" w:tplc="0409000B">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2" w15:restartNumberingAfterBreak="0">
    <w:nsid w:val="38513A1B"/>
    <w:multiLevelType w:val="hybridMultilevel"/>
    <w:tmpl w:val="963A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A3C69"/>
    <w:multiLevelType w:val="hybridMultilevel"/>
    <w:tmpl w:val="75C6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571D8"/>
    <w:multiLevelType w:val="hybridMultilevel"/>
    <w:tmpl w:val="74FA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E0B20"/>
    <w:multiLevelType w:val="hybridMultilevel"/>
    <w:tmpl w:val="FFD2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64359"/>
    <w:multiLevelType w:val="hybridMultilevel"/>
    <w:tmpl w:val="BC6E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E7CAE"/>
    <w:multiLevelType w:val="hybridMultilevel"/>
    <w:tmpl w:val="ECC2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38024A"/>
    <w:multiLevelType w:val="hybridMultilevel"/>
    <w:tmpl w:val="F41E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6107F"/>
    <w:multiLevelType w:val="hybridMultilevel"/>
    <w:tmpl w:val="37E2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7540B"/>
    <w:multiLevelType w:val="hybridMultilevel"/>
    <w:tmpl w:val="2144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A13A45"/>
    <w:multiLevelType w:val="hybridMultilevel"/>
    <w:tmpl w:val="5E0C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11772"/>
    <w:multiLevelType w:val="hybridMultilevel"/>
    <w:tmpl w:val="6904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271D6"/>
    <w:multiLevelType w:val="hybridMultilevel"/>
    <w:tmpl w:val="B824B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10D25"/>
    <w:multiLevelType w:val="hybridMultilevel"/>
    <w:tmpl w:val="D3E4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E3B1B"/>
    <w:multiLevelType w:val="hybridMultilevel"/>
    <w:tmpl w:val="7AA6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F32DAE"/>
    <w:multiLevelType w:val="hybridMultilevel"/>
    <w:tmpl w:val="5C80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9D78BE"/>
    <w:multiLevelType w:val="hybridMultilevel"/>
    <w:tmpl w:val="95B8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83998"/>
    <w:multiLevelType w:val="hybridMultilevel"/>
    <w:tmpl w:val="551EC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636A1"/>
    <w:multiLevelType w:val="hybridMultilevel"/>
    <w:tmpl w:val="EDBA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C00071"/>
    <w:multiLevelType w:val="hybridMultilevel"/>
    <w:tmpl w:val="28B4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95B5C"/>
    <w:multiLevelType w:val="hybridMultilevel"/>
    <w:tmpl w:val="7D92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A6F80"/>
    <w:multiLevelType w:val="hybridMultilevel"/>
    <w:tmpl w:val="1A5819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1090235">
    <w:abstractNumId w:val="24"/>
  </w:num>
  <w:num w:numId="2" w16cid:durableId="389111736">
    <w:abstractNumId w:val="0"/>
  </w:num>
  <w:num w:numId="3" w16cid:durableId="1855996114">
    <w:abstractNumId w:val="22"/>
  </w:num>
  <w:num w:numId="4" w16cid:durableId="864371341">
    <w:abstractNumId w:val="19"/>
  </w:num>
  <w:num w:numId="5" w16cid:durableId="1487744643">
    <w:abstractNumId w:val="26"/>
  </w:num>
  <w:num w:numId="6" w16cid:durableId="821001796">
    <w:abstractNumId w:val="30"/>
  </w:num>
  <w:num w:numId="7" w16cid:durableId="1088503691">
    <w:abstractNumId w:val="9"/>
  </w:num>
  <w:num w:numId="8" w16cid:durableId="1700282467">
    <w:abstractNumId w:val="17"/>
  </w:num>
  <w:num w:numId="9" w16cid:durableId="1946955817">
    <w:abstractNumId w:val="2"/>
  </w:num>
  <w:num w:numId="10" w16cid:durableId="1519809549">
    <w:abstractNumId w:val="15"/>
  </w:num>
  <w:num w:numId="11" w16cid:durableId="362900957">
    <w:abstractNumId w:val="11"/>
  </w:num>
  <w:num w:numId="12" w16cid:durableId="3948027">
    <w:abstractNumId w:val="27"/>
  </w:num>
  <w:num w:numId="13" w16cid:durableId="1951544135">
    <w:abstractNumId w:val="7"/>
  </w:num>
  <w:num w:numId="14" w16cid:durableId="1598635323">
    <w:abstractNumId w:val="20"/>
  </w:num>
  <w:num w:numId="15" w16cid:durableId="346908672">
    <w:abstractNumId w:val="5"/>
  </w:num>
  <w:num w:numId="16" w16cid:durableId="249003018">
    <w:abstractNumId w:val="25"/>
  </w:num>
  <w:num w:numId="17" w16cid:durableId="1749226905">
    <w:abstractNumId w:val="32"/>
  </w:num>
  <w:num w:numId="18" w16cid:durableId="1807702971">
    <w:abstractNumId w:val="6"/>
  </w:num>
  <w:num w:numId="19" w16cid:durableId="711425891">
    <w:abstractNumId w:val="3"/>
  </w:num>
  <w:num w:numId="20" w16cid:durableId="6979070">
    <w:abstractNumId w:val="29"/>
  </w:num>
  <w:num w:numId="21" w16cid:durableId="391123979">
    <w:abstractNumId w:val="12"/>
  </w:num>
  <w:num w:numId="22" w16cid:durableId="150369401">
    <w:abstractNumId w:val="8"/>
  </w:num>
  <w:num w:numId="23" w16cid:durableId="1770738834">
    <w:abstractNumId w:val="28"/>
  </w:num>
  <w:num w:numId="24" w16cid:durableId="1165054556">
    <w:abstractNumId w:val="23"/>
  </w:num>
  <w:num w:numId="25" w16cid:durableId="996881568">
    <w:abstractNumId w:val="21"/>
  </w:num>
  <w:num w:numId="26" w16cid:durableId="184489198">
    <w:abstractNumId w:val="10"/>
  </w:num>
  <w:num w:numId="27" w16cid:durableId="1646277525">
    <w:abstractNumId w:val="4"/>
  </w:num>
  <w:num w:numId="28" w16cid:durableId="592933">
    <w:abstractNumId w:val="31"/>
  </w:num>
  <w:num w:numId="29" w16cid:durableId="346174748">
    <w:abstractNumId w:val="1"/>
  </w:num>
  <w:num w:numId="30" w16cid:durableId="913974747">
    <w:abstractNumId w:val="14"/>
  </w:num>
  <w:num w:numId="31" w16cid:durableId="1166284606">
    <w:abstractNumId w:val="16"/>
  </w:num>
  <w:num w:numId="32" w16cid:durableId="270355210">
    <w:abstractNumId w:val="18"/>
  </w:num>
  <w:num w:numId="33" w16cid:durableId="8372343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6EA"/>
    <w:rsid w:val="00012F76"/>
    <w:rsid w:val="00037B31"/>
    <w:rsid w:val="00047700"/>
    <w:rsid w:val="00097CB0"/>
    <w:rsid w:val="000C449D"/>
    <w:rsid w:val="001169F9"/>
    <w:rsid w:val="001351F6"/>
    <w:rsid w:val="001428F9"/>
    <w:rsid w:val="001753E6"/>
    <w:rsid w:val="00196A4C"/>
    <w:rsid w:val="001D24DA"/>
    <w:rsid w:val="001F70F4"/>
    <w:rsid w:val="00257D6E"/>
    <w:rsid w:val="002659AD"/>
    <w:rsid w:val="00273834"/>
    <w:rsid w:val="002A57E4"/>
    <w:rsid w:val="002D2929"/>
    <w:rsid w:val="002F06AF"/>
    <w:rsid w:val="00304861"/>
    <w:rsid w:val="00334229"/>
    <w:rsid w:val="00350222"/>
    <w:rsid w:val="00367145"/>
    <w:rsid w:val="003700A2"/>
    <w:rsid w:val="00375A60"/>
    <w:rsid w:val="003D2A8C"/>
    <w:rsid w:val="004007B8"/>
    <w:rsid w:val="00450E48"/>
    <w:rsid w:val="0045257F"/>
    <w:rsid w:val="004925A2"/>
    <w:rsid w:val="004C7E37"/>
    <w:rsid w:val="005C3325"/>
    <w:rsid w:val="005C6F17"/>
    <w:rsid w:val="006506EA"/>
    <w:rsid w:val="00652381"/>
    <w:rsid w:val="00660156"/>
    <w:rsid w:val="00673271"/>
    <w:rsid w:val="006910AD"/>
    <w:rsid w:val="007019F7"/>
    <w:rsid w:val="00710127"/>
    <w:rsid w:val="007311D5"/>
    <w:rsid w:val="00833196"/>
    <w:rsid w:val="00850B0D"/>
    <w:rsid w:val="00852568"/>
    <w:rsid w:val="0087480C"/>
    <w:rsid w:val="008A1F54"/>
    <w:rsid w:val="008A7466"/>
    <w:rsid w:val="008C2E30"/>
    <w:rsid w:val="00911B60"/>
    <w:rsid w:val="00936683"/>
    <w:rsid w:val="009933F5"/>
    <w:rsid w:val="009D3E93"/>
    <w:rsid w:val="00A010E0"/>
    <w:rsid w:val="00A06C86"/>
    <w:rsid w:val="00A10181"/>
    <w:rsid w:val="00AE0F48"/>
    <w:rsid w:val="00B0360F"/>
    <w:rsid w:val="00B70F51"/>
    <w:rsid w:val="00BE1FB6"/>
    <w:rsid w:val="00BF4459"/>
    <w:rsid w:val="00C431CC"/>
    <w:rsid w:val="00C45DA7"/>
    <w:rsid w:val="00CB3B29"/>
    <w:rsid w:val="00CC427D"/>
    <w:rsid w:val="00CD0578"/>
    <w:rsid w:val="00D231DF"/>
    <w:rsid w:val="00D648DB"/>
    <w:rsid w:val="00DD6251"/>
    <w:rsid w:val="00E03475"/>
    <w:rsid w:val="00E3226D"/>
    <w:rsid w:val="00E54782"/>
    <w:rsid w:val="00E74E10"/>
    <w:rsid w:val="00EE58EB"/>
    <w:rsid w:val="00EE60CB"/>
    <w:rsid w:val="00F27B17"/>
    <w:rsid w:val="00F52452"/>
    <w:rsid w:val="00F54537"/>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239F2"/>
  <w15:docId w15:val="{ACA9E19D-7F52-450F-A41F-809720F8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F14"/>
    <w:pPr>
      <w:tabs>
        <w:tab w:val="center" w:pos="4680"/>
        <w:tab w:val="right" w:pos="9360"/>
      </w:tabs>
    </w:pPr>
  </w:style>
  <w:style w:type="character" w:customStyle="1" w:styleId="HeaderChar">
    <w:name w:val="Header Char"/>
    <w:basedOn w:val="DefaultParagraphFont"/>
    <w:link w:val="Header"/>
    <w:uiPriority w:val="99"/>
    <w:rsid w:val="00FF5F14"/>
  </w:style>
  <w:style w:type="paragraph" w:styleId="Footer">
    <w:name w:val="footer"/>
    <w:basedOn w:val="Normal"/>
    <w:link w:val="FooterChar"/>
    <w:uiPriority w:val="99"/>
    <w:unhideWhenUsed/>
    <w:rsid w:val="00FF5F14"/>
    <w:pPr>
      <w:tabs>
        <w:tab w:val="center" w:pos="4680"/>
        <w:tab w:val="right" w:pos="9360"/>
      </w:tabs>
    </w:pPr>
  </w:style>
  <w:style w:type="character" w:customStyle="1" w:styleId="FooterChar">
    <w:name w:val="Footer Char"/>
    <w:basedOn w:val="DefaultParagraphFont"/>
    <w:link w:val="Footer"/>
    <w:uiPriority w:val="99"/>
    <w:rsid w:val="00FF5F14"/>
  </w:style>
  <w:style w:type="paragraph" w:styleId="ListParagraph">
    <w:name w:val="List Paragraph"/>
    <w:basedOn w:val="Normal"/>
    <w:uiPriority w:val="34"/>
    <w:qFormat/>
    <w:rsid w:val="004C7E37"/>
    <w:pPr>
      <w:ind w:left="720"/>
      <w:contextualSpacing/>
    </w:pPr>
  </w:style>
  <w:style w:type="table" w:styleId="TableGrid">
    <w:name w:val="Table Grid"/>
    <w:basedOn w:val="TableNormal"/>
    <w:uiPriority w:val="59"/>
    <w:rsid w:val="004C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10"/>
    <w:rPr>
      <w:color w:val="808080"/>
    </w:rPr>
  </w:style>
  <w:style w:type="character" w:styleId="Hyperlink">
    <w:name w:val="Hyperlink"/>
    <w:basedOn w:val="DefaultParagraphFont"/>
    <w:uiPriority w:val="99"/>
    <w:unhideWhenUsed/>
    <w:rsid w:val="00367145"/>
    <w:rPr>
      <w:color w:val="0000FF" w:themeColor="hyperlink"/>
      <w:u w:val="single"/>
    </w:rPr>
  </w:style>
  <w:style w:type="character" w:styleId="UnresolvedMention">
    <w:name w:val="Unresolved Mention"/>
    <w:basedOn w:val="DefaultParagraphFont"/>
    <w:uiPriority w:val="99"/>
    <w:semiHidden/>
    <w:unhideWhenUsed/>
    <w:rsid w:val="00367145"/>
    <w:rPr>
      <w:color w:val="605E5C"/>
      <w:shd w:val="clear" w:color="auto" w:fill="E1DFDD"/>
    </w:rPr>
  </w:style>
  <w:style w:type="paragraph" w:customStyle="1" w:styleId="Default">
    <w:name w:val="Default"/>
    <w:rsid w:val="004925A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baier@chippewacountywi.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baier@chippewa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609</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Chippewa County</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Bremness</dc:creator>
  <cp:lastModifiedBy>Kaitlin Horstman</cp:lastModifiedBy>
  <cp:revision>5</cp:revision>
  <cp:lastPrinted>2023-12-08T16:21:00Z</cp:lastPrinted>
  <dcterms:created xsi:type="dcterms:W3CDTF">2024-10-14T20:17:00Z</dcterms:created>
  <dcterms:modified xsi:type="dcterms:W3CDTF">2025-06-30T19:34:00Z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d6827f484106c4d0c9ba9aab20d273a4ce9e0cfa49fabc29497d5a2b6285911c</vt:lpwstr>
  </property>
</Properties>
</file>